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F4B68D35-0FC8-4ADE-ADD4-4282744A07F6}"/>
</file>

<file path=customXml/itemProps2.xml><?xml version="1.0" encoding="utf-8"?>
<ds:datastoreItem xmlns:ds="http://schemas.openxmlformats.org/officeDocument/2006/customXml" ds:itemID="{5C615682-580E-4C2E-A40C-E5FC02052A18}"/>
</file>

<file path=customXml/itemProps3.xml><?xml version="1.0" encoding="utf-8"?>
<ds:datastoreItem xmlns:ds="http://schemas.openxmlformats.org/officeDocument/2006/customXml" ds:itemID="{A44E0E40-FFC5-45BB-83F6-10BD90313E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